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C917CB" w:rsidRPr="00C917CB" w:rsidRDefault="00C917CB" w:rsidP="00C91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ПАСПОРТ УСЛУГИ (ПРОЦЕССА) ООО «</w:t>
      </w:r>
      <w:r w:rsidR="00C36C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ТРАНСЭНЕРГО</w:t>
      </w: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C917CB" w:rsidRPr="00C917CB" w:rsidRDefault="00C917CB" w:rsidP="00C91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ТЕХНОЛОГИЧЕСКОМУ ПРИСОЕДИНЕНИЮ</w:t>
      </w:r>
    </w:p>
    <w:p w:rsidR="00121D9C" w:rsidRDefault="00C917CB" w:rsidP="00C9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(Заявители </w:t>
      </w:r>
      <w:r w:rsidR="00121D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физические лица, </w:t>
      </w: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максимальной мощностью энергопринимающих устройств до 15 кВт с учетом ранее присоединенной мощности</w:t>
      </w:r>
      <w:r w:rsidR="00121D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</w:p>
    <w:p w:rsidR="00C917CB" w:rsidRPr="00C917CB" w:rsidRDefault="00121D9C" w:rsidP="00C91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Заявители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юридически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 лица, </w:t>
      </w: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максимальной мощностью энергопринимающих устройств до 15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кВт с учетом ранее присоединенной мощности</w:t>
      </w:r>
      <w:r w:rsidR="00C917CB"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C917CB" w:rsidRPr="00C917CB" w:rsidRDefault="00C917CB" w:rsidP="00C91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917CB" w:rsidRPr="00C917CB" w:rsidRDefault="00C917CB" w:rsidP="00C917C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121D9C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Круг заявителей: </w:t>
      </w:r>
    </w:p>
    <w:p w:rsidR="00C917CB" w:rsidRDefault="00121D9C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r w:rsidR="00C917CB"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физические лица, намеревающиеся осуществить технологическое присоединение энергопринимающих устройств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 максимальной мощностью до 15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кВ</w:t>
      </w:r>
      <w:proofErr w:type="spellEnd"/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осуществляющих технологическое присоединение 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>в бытовых целях, не связанных с осуществлением предпринимательской деятельности</w:t>
      </w:r>
      <w:r w:rsidR="00DC03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C03A2" w:rsidRPr="00DC03A2">
        <w:rPr>
          <w:rFonts w:ascii="Times New Roman" w:eastAsia="Times New Roman" w:hAnsi="Times New Roman" w:cs="Times New Roman"/>
          <w:color w:val="000000"/>
          <w:sz w:val="27"/>
          <w:szCs w:val="27"/>
        </w:rPr>
        <w:t>и электроснабжение которых предусматривается по одному источнику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21D9C" w:rsidRPr="00C917CB" w:rsidRDefault="00121D9C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121D9C">
        <w:rPr>
          <w:rFonts w:ascii="Times New Roman" w:eastAsia="Times New Roman" w:hAnsi="Times New Roman" w:cs="Times New Roman"/>
          <w:color w:val="000000"/>
          <w:sz w:val="27"/>
          <w:szCs w:val="27"/>
        </w:rPr>
        <w:t>юридические лица</w:t>
      </w:r>
      <w:r w:rsidR="001C5F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индивидуальные предприниматели</w:t>
      </w:r>
      <w:r w:rsidRPr="00121D9C">
        <w:rPr>
          <w:rFonts w:ascii="Times New Roman" w:eastAsia="Times New Roman" w:hAnsi="Times New Roman" w:cs="Times New Roman"/>
          <w:color w:val="000000"/>
          <w:sz w:val="27"/>
          <w:szCs w:val="27"/>
        </w:rPr>
        <w:t>, с максимальной мощностью энергопринимающих устройств до 150 кВт с учетом ранее присоединенной мощности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917CB" w:rsidRPr="00C917CB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121D9C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Размер платы за предоставление услуги (про</w:t>
      </w:r>
      <w:r w:rsidR="00CB7C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цесса) и основание ее взимания:</w:t>
      </w:r>
    </w:p>
    <w:p w:rsidR="00C917CB" w:rsidRDefault="00121D9C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для заявителей физических лиц:</w:t>
      </w:r>
      <w:r w:rsidR="00CB7C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550 рублей при </w:t>
      </w:r>
      <w:r w:rsidR="00C917CB"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присо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единении заявителя, владеющего </w:t>
      </w:r>
      <w:r w:rsidR="00C917CB"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объектам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и, отнесенными к третьей категории </w:t>
      </w:r>
      <w:r w:rsidR="00C917CB"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надежности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(по одному </w:t>
      </w:r>
      <w:r w:rsidR="00C917CB"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источнику электроснабжения) при условии, что расстояние от границ участка заявителя до объе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ктов электросетевого хозяйства на уровне напряжения до 20 </w:t>
      </w:r>
      <w:proofErr w:type="spellStart"/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>кВ</w:t>
      </w:r>
      <w:proofErr w:type="spellEnd"/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включительно необходимого </w:t>
      </w:r>
      <w:r w:rsidR="00C917CB"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ителю класса напряжения сетевой организации, в которую подана заявка, составляет не более 300 метров в городе и не </w:t>
      </w:r>
      <w:r w:rsidR="00C917CB"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более 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>500 метров в сельской местности.</w:t>
      </w:r>
    </w:p>
    <w:p w:rsidR="00C917CB" w:rsidRDefault="00121D9C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1C5F2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для заявителей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осуществляющих технологическое присоединение</w:t>
      </w:r>
      <w:r w:rsidRPr="00121D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  <w:r w:rsidR="001C5F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р</w:t>
      </w:r>
      <w:r w:rsidR="00C917CB"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азмер платы за технологическое присоединение рассчитывается на основании ст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авок, </w:t>
      </w:r>
      <w:r w:rsidR="00C917CB"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C917CB"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ны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>х органом исполнительной власти в области тарифного регулирования.</w:t>
      </w:r>
    </w:p>
    <w:p w:rsidR="001C5F25" w:rsidRPr="00C917CB" w:rsidRDefault="001C5F25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заявителей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осуществляющих </w:t>
      </w:r>
      <w:r w:rsidRPr="001C5F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технологическое присоединение по второй или третьей категории надежности энергопринимающих устройств, максимальная мощность которых составляет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15 кВт </w:t>
      </w:r>
      <w:r w:rsidRPr="001C5F25">
        <w:rPr>
          <w:rFonts w:ascii="Times New Roman" w:eastAsia="Times New Roman" w:hAnsi="Times New Roman" w:cs="Times New Roman"/>
          <w:color w:val="000000"/>
          <w:sz w:val="27"/>
          <w:szCs w:val="27"/>
        </w:rPr>
        <w:t>до 150 кВт включительно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C5F25">
        <w:rPr>
          <w:rFonts w:ascii="Times New Roman" w:eastAsia="Times New Roman" w:hAnsi="Times New Roman" w:cs="Times New Roman"/>
          <w:color w:val="000000"/>
          <w:sz w:val="27"/>
          <w:szCs w:val="27"/>
        </w:rPr>
        <w:t>(с учетом ранее присоединенных в данной точке присоединения энергопринимающих устройств)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может быть установлена беспроцентная рассрочка платежа </w:t>
      </w:r>
      <w:r w:rsidRPr="001C5F25">
        <w:rPr>
          <w:rFonts w:ascii="Times New Roman" w:eastAsia="Times New Roman" w:hAnsi="Times New Roman" w:cs="Times New Roman"/>
          <w:color w:val="000000"/>
          <w:sz w:val="27"/>
          <w:szCs w:val="27"/>
        </w:rPr>
        <w:t>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B7C42" w:rsidRDefault="00CB7C42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917CB" w:rsidRPr="00C917CB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Условия оказания услуги (процесса):</w:t>
      </w:r>
      <w:r w:rsidR="00CB7C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подача заявки на технологическое присоединение 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сетевую компанию, 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приложением 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комплект</w:t>
      </w:r>
      <w:r w:rsidR="00CB7C42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необходимых документов;</w:t>
      </w:r>
      <w:r w:rsidR="00010B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своевременное внесение оплаты; соблюдение принципа «однократности технологического присоединения».</w:t>
      </w:r>
    </w:p>
    <w:p w:rsidR="00C917CB" w:rsidRPr="00C917CB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917CB" w:rsidRPr="00C917CB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Резуль</w:t>
      </w:r>
      <w:r w:rsidR="00010B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тат оказания услуги (процесса): 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осуществление технологического присоединения энергопринимающих устройств заявителя к электрическим сетям ООО «</w:t>
      </w:r>
      <w:r w:rsidR="00C36C9F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Трансэнерго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C917CB" w:rsidRPr="00C917CB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917CB" w:rsidRPr="00C917CB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Общий с</w:t>
      </w:r>
      <w:r w:rsidR="00010B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рок оказания услуги (процесса): 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общий срок осуществление мероприятий по технологическому присоединению энергопринимающих устройств заявителя к электрическим сетям ООО «</w:t>
      </w:r>
      <w:r w:rsidR="00C36C9F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Трансэнерго</w:t>
      </w:r>
      <w:r w:rsidR="00010B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составляет </w:t>
      </w:r>
      <w:r w:rsidR="00122276">
        <w:rPr>
          <w:rFonts w:ascii="Times New Roman" w:eastAsia="Times New Roman" w:hAnsi="Times New Roman" w:cs="Times New Roman"/>
          <w:color w:val="000000"/>
          <w:sz w:val="27"/>
          <w:szCs w:val="27"/>
        </w:rPr>
        <w:t>6 месяцев с даты заключения договора.</w:t>
      </w:r>
    </w:p>
    <w:p w:rsidR="00C917CB" w:rsidRPr="00C917CB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917CB" w:rsidRPr="00C917CB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Ссылка на нормативный правовой акт: 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C917CB" w:rsidRPr="00C917CB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1C5F25" w:rsidRDefault="00C917CB" w:rsidP="00C917C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1C5F25" w:rsidRDefault="001C5F25" w:rsidP="00C917C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C5F25" w:rsidRDefault="001C5F25" w:rsidP="00C917C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C5F25" w:rsidRDefault="001C5F25" w:rsidP="00C917C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C5F25" w:rsidRDefault="001C5F25" w:rsidP="00C917C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C5F25" w:rsidRDefault="001C5F25" w:rsidP="00C917C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C5F25" w:rsidRDefault="001C5F25" w:rsidP="00C917C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C5F25" w:rsidRDefault="001C5F25" w:rsidP="00C917C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C5F25" w:rsidRDefault="001C5F25" w:rsidP="00C917C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C5F25" w:rsidRDefault="001C5F25" w:rsidP="00C917C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C5F25" w:rsidRDefault="001C5F25" w:rsidP="00C917CB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76F1E" w:rsidRDefault="00576F1E" w:rsidP="001C5F25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76F1E" w:rsidRDefault="00576F1E" w:rsidP="001C5F25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76F1E" w:rsidRDefault="00576F1E" w:rsidP="001C5F25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76F1E" w:rsidRDefault="00576F1E" w:rsidP="001C5F25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76F1E" w:rsidRDefault="00576F1E" w:rsidP="00576F1E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917CB" w:rsidRPr="00C917CB" w:rsidRDefault="00C917CB" w:rsidP="00576F1E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Состав, последовательность и с</w:t>
      </w:r>
      <w:r w:rsidR="00576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роки оказания услуги (процесса)</w:t>
      </w:r>
    </w:p>
    <w:tbl>
      <w:tblPr>
        <w:tblW w:w="16020" w:type="dxa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077"/>
        <w:gridCol w:w="3671"/>
        <w:gridCol w:w="2824"/>
        <w:gridCol w:w="2692"/>
        <w:gridCol w:w="4219"/>
      </w:tblGrid>
      <w:tr w:rsidR="00C917CB" w:rsidRPr="00C917CB" w:rsidTr="004045BF">
        <w:trPr>
          <w:trHeight w:val="52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7CB" w:rsidRPr="00C917CB" w:rsidRDefault="00C917CB" w:rsidP="00C917C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C917CB" w:rsidRPr="00C917CB" w:rsidRDefault="00C917CB" w:rsidP="00C917C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7CB" w:rsidRPr="00C917CB" w:rsidRDefault="00C917CB" w:rsidP="00C917C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7CB" w:rsidRPr="00C917CB" w:rsidRDefault="00C917CB" w:rsidP="00C917C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Содержание/условие этапа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7CB" w:rsidRPr="00C917CB" w:rsidRDefault="00C917CB" w:rsidP="00C917C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предоставления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7CB" w:rsidRPr="00C917CB" w:rsidRDefault="00C917CB" w:rsidP="00C917C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7CB" w:rsidRPr="00C917CB" w:rsidRDefault="00C917CB" w:rsidP="00C917C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C917CB" w:rsidRPr="00C917CB" w:rsidTr="004045BF">
        <w:trPr>
          <w:trHeight w:val="190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C917CB" w:rsidRDefault="00C917CB" w:rsidP="00C917C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C917CB" w:rsidRDefault="00C917CB" w:rsidP="00C917C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Рассмотрение</w:t>
            </w:r>
          </w:p>
          <w:p w:rsidR="00C917CB" w:rsidRPr="00C917CB" w:rsidRDefault="00C917CB" w:rsidP="00C917C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заявки на</w:t>
            </w:r>
          </w:p>
          <w:p w:rsidR="00C917CB" w:rsidRPr="00C917CB" w:rsidRDefault="00C917CB" w:rsidP="00C917C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технологическое</w:t>
            </w:r>
          </w:p>
          <w:p w:rsidR="00C917CB" w:rsidRPr="00C917CB" w:rsidRDefault="00C917CB" w:rsidP="00C917C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присоединение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C917CB" w:rsidRDefault="00C917CB" w:rsidP="001C5F2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Получение ООО «</w:t>
            </w:r>
            <w:r w:rsidR="00C3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Трансэнерго</w:t>
            </w: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заявки на технологическое присоединение энергопринимающих устройств к электрическим сетям</w:t>
            </w:r>
            <w:r w:rsidR="0012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проверка </w:t>
            </w:r>
            <w:r w:rsidR="001C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правильности заполнения поданной заявки</w:t>
            </w:r>
            <w:r w:rsidR="001C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r w:rsidR="0012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комп</w:t>
            </w:r>
            <w:r w:rsidR="001C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лекта прикладываемых документов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C917CB" w:rsidRDefault="00C917CB" w:rsidP="00C917CB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письмом;</w:t>
            </w:r>
          </w:p>
          <w:p w:rsidR="00C917CB" w:rsidRPr="00C917CB" w:rsidRDefault="00C917CB" w:rsidP="00C917CB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 или через уполномоченного представителя;</w:t>
            </w:r>
          </w:p>
          <w:p w:rsidR="00C917CB" w:rsidRPr="00C917CB" w:rsidRDefault="00C917CB" w:rsidP="00C917CB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электронной форме посредством Личного кабинета на сайте ООО «</w:t>
            </w:r>
            <w:r w:rsidR="00C36C9F" w:rsidRPr="00C3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Трансэнерго</w:t>
            </w: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C917CB" w:rsidRDefault="00C917CB" w:rsidP="00C917CB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позднее 3 рабочих дней с даты получения заявки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C917CB" w:rsidRDefault="00C917CB" w:rsidP="00C917C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отсутствии в заявке сведений, а также документов</w:t>
            </w:r>
            <w:r w:rsidR="001C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предусмотренных Правилами технологического присоединения, заявитель уведомляется об этом в течение 3 рабочих дней с даты получения</w:t>
            </w:r>
            <w:r w:rsidR="00C3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заявки (п. 15 Правил).</w:t>
            </w:r>
          </w:p>
        </w:tc>
      </w:tr>
      <w:tr w:rsidR="00C917CB" w:rsidRPr="00C917CB" w:rsidTr="004045BF">
        <w:trPr>
          <w:trHeight w:val="143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C917CB" w:rsidRDefault="00C917CB" w:rsidP="00C917C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1C5F25" w:rsidRDefault="001C5F25" w:rsidP="00290F9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Выставление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9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сетевой организацией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счета на оплату</w:t>
            </w:r>
            <w:r w:rsidRPr="001C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9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 направление </w:t>
            </w:r>
            <w:r w:rsidR="0029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счета </w:t>
            </w:r>
            <w:r w:rsidR="0029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заявителю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C917CB" w:rsidRDefault="00290F9B" w:rsidP="00290F9B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с</w:t>
            </w:r>
            <w:r w:rsidR="0012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12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поданной заявки действующему законодательству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сетевая организация выставляет </w:t>
            </w:r>
            <w:r w:rsidRPr="0029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счет для внесения платы (части платы) за технологическое присоединение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C917CB" w:rsidRDefault="00981A1A" w:rsidP="00981A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Размещение в личном кабинете заявителя (на сайте сетевой организации)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C917CB" w:rsidRDefault="00290F9B" w:rsidP="00C917CB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течение 10</w:t>
            </w: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рабочих дней с даты получения заявки</w:t>
            </w: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CB" w:rsidRPr="00C917CB" w:rsidRDefault="001C5F25" w:rsidP="00C917CB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F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 указанной категории заявителей, договор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</w:t>
            </w:r>
          </w:p>
        </w:tc>
      </w:tr>
      <w:tr w:rsidR="00576F1E" w:rsidRPr="00C917CB" w:rsidTr="004045BF">
        <w:trPr>
          <w:trHeight w:val="227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1E" w:rsidRPr="00C917CB" w:rsidRDefault="00576F1E" w:rsidP="00576F1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1E" w:rsidRDefault="00576F1E" w:rsidP="00576F1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Размещение в личном кабинете заявителя (на сайте сетевой организации):</w:t>
            </w:r>
          </w:p>
          <w:p w:rsidR="00576F1E" w:rsidRDefault="00576F1E" w:rsidP="00576F1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 условий</w:t>
            </w:r>
            <w:r w:rsidRPr="00981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типового договора об осуществлении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технологического присоединения;</w:t>
            </w:r>
          </w:p>
          <w:p w:rsidR="00576F1E" w:rsidRDefault="00576F1E" w:rsidP="00576F1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 технических условия к договору;</w:t>
            </w:r>
          </w:p>
          <w:p w:rsidR="00576F1E" w:rsidRPr="001C5F25" w:rsidRDefault="00576F1E" w:rsidP="00576F1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 инст</w:t>
            </w:r>
            <w:r w:rsidRPr="00981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1E" w:rsidRDefault="00576F1E" w:rsidP="00576F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соответствии поданной заявки действующему законодательству,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вместе с счетом на оплату, сетевая организация размещает в личном кабинете заявителя перечисленные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(указанные в колонке 1 строка 3)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1E" w:rsidRPr="00C917CB" w:rsidRDefault="00576F1E" w:rsidP="00576F1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Размещение в личном кабинете заявителя (на сайте сетевой организации)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1E" w:rsidRPr="00C917CB" w:rsidRDefault="00576F1E" w:rsidP="00576F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течение 10</w:t>
            </w: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рабочих дней с даты получения заявки</w:t>
            </w: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1E" w:rsidRPr="001C5F25" w:rsidRDefault="00576F1E" w:rsidP="00576F1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F1E" w:rsidRPr="00C917CB" w:rsidTr="002B017E">
        <w:trPr>
          <w:trHeight w:val="227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1E" w:rsidRPr="00C917CB" w:rsidRDefault="00576F1E" w:rsidP="00576F1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F1E" w:rsidRPr="001C5F25" w:rsidRDefault="00576F1E" w:rsidP="00576F1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Оплата счета заявителем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F1E" w:rsidRDefault="00576F1E" w:rsidP="00576F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 размещения счета в личном кабинете заявителя, заявитель вносит плату за технологическое присоединение.</w:t>
            </w:r>
          </w:p>
          <w:p w:rsidR="00576F1E" w:rsidRDefault="00576F1E" w:rsidP="00576F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Заявитель при внесении платы за технологическое присоединение в назначении платежа обязан указать реквизиты указанного счета.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F1E" w:rsidRPr="00C917CB" w:rsidRDefault="00576F1E" w:rsidP="00576F1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Оплата безналичным путем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F1E" w:rsidRDefault="00576F1E" w:rsidP="00576F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981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аявитель обязан в течение 5 рабочих дней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оплатить выставлен</w:t>
            </w:r>
            <w:r w:rsidRPr="00981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ный счет.</w:t>
            </w:r>
          </w:p>
          <w:p w:rsidR="00576F1E" w:rsidRPr="00C917CB" w:rsidRDefault="00576F1E" w:rsidP="00576F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 заявителей ЮЛ и ИП, выбравших способ оплаты в рассрочку – вносится 10% от суммы договора по выставленному счету, остальные 90% платы вносятся в течение срока предоставленной рассрочки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F1E" w:rsidRPr="001C5F25" w:rsidRDefault="00576F1E" w:rsidP="00576F1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1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случае несоб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людения заявителем обязанности по внесению платы - </w:t>
            </w:r>
            <w:r w:rsidRPr="00981A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заявка аннулируется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договор считается не заключенным</w:t>
            </w:r>
          </w:p>
        </w:tc>
      </w:tr>
      <w:tr w:rsidR="00576F1E" w:rsidRPr="00C917CB" w:rsidTr="002B017E">
        <w:trPr>
          <w:trHeight w:val="333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F1E" w:rsidRPr="00C917CB" w:rsidRDefault="00576F1E" w:rsidP="00576F1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F1E" w:rsidRPr="00C917CB" w:rsidRDefault="00576F1E" w:rsidP="00576F1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Выполнение мероприятий,</w:t>
            </w:r>
          </w:p>
          <w:p w:rsidR="00576F1E" w:rsidRPr="00C917CB" w:rsidRDefault="00576F1E" w:rsidP="00576F1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предусмотренных</w:t>
            </w:r>
          </w:p>
          <w:p w:rsidR="00576F1E" w:rsidRPr="00C917CB" w:rsidRDefault="00576F1E" w:rsidP="00576F1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договором</w:t>
            </w:r>
          </w:p>
          <w:p w:rsidR="00576F1E" w:rsidRPr="00C917CB" w:rsidRDefault="00576F1E" w:rsidP="00576F1E">
            <w:pPr>
              <w:spacing w:after="0" w:line="240" w:lineRule="auto"/>
              <w:ind w:left="176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F1E" w:rsidRPr="00C917CB" w:rsidRDefault="00576F1E" w:rsidP="00576F1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Оплата Заявителем выставленного сетевой организацией счета за технологическое присоединение</w:t>
            </w:r>
          </w:p>
          <w:p w:rsidR="00576F1E" w:rsidRPr="00C917CB" w:rsidRDefault="00576F1E" w:rsidP="00576F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F1E" w:rsidRDefault="00576F1E" w:rsidP="005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 установка</w:t>
            </w:r>
            <w:r w:rsidR="00ED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допуск в эксплуатацию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приборов учета</w:t>
            </w:r>
            <w:r w:rsidR="00ED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силами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D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сетевой организацией</w:t>
            </w:r>
          </w:p>
          <w:p w:rsidR="00576F1E" w:rsidRPr="00C917CB" w:rsidRDefault="00576F1E" w:rsidP="00ED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57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(мощности).</w:t>
            </w: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F1E" w:rsidRPr="00C917CB" w:rsidRDefault="00576F1E" w:rsidP="00576F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месяцев с даты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заключения договора</w:t>
            </w:r>
          </w:p>
          <w:p w:rsidR="00576F1E" w:rsidRPr="00C917CB" w:rsidRDefault="00576F1E" w:rsidP="00576F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F1E" w:rsidRPr="00C917CB" w:rsidRDefault="00ED44B1" w:rsidP="00576F1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сетевой организацией указанных обязательств осуществляется вне зависимости от исполнения обязательств заявителем (за исключением обязательств по оплате счета</w:t>
            </w:r>
            <w:r w:rsidR="00576F1E"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576F1E" w:rsidRPr="00C917CB" w:rsidRDefault="00576F1E" w:rsidP="00576F1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576F1E" w:rsidRPr="00C917CB" w:rsidRDefault="00576F1E" w:rsidP="00576F1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576F1E" w:rsidRPr="00C917CB" w:rsidRDefault="00576F1E" w:rsidP="00576F1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576F1E" w:rsidRPr="00C917CB" w:rsidRDefault="00576F1E" w:rsidP="00576F1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576F1E" w:rsidRPr="00C917CB" w:rsidRDefault="00576F1E" w:rsidP="00576F1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576F1E" w:rsidRPr="00C917CB" w:rsidRDefault="00576F1E" w:rsidP="00576F1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017E" w:rsidRPr="00C917CB" w:rsidTr="002B017E">
        <w:trPr>
          <w:trHeight w:val="626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E" w:rsidRDefault="002B017E" w:rsidP="00576F1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E" w:rsidRPr="00C917CB" w:rsidRDefault="002B017E" w:rsidP="00576F1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Составление документов, подтверждающих технологическое присоединение энергопринимающих устройств и размещение данных документов в личном кабинете Заявителя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E" w:rsidRDefault="002B017E" w:rsidP="002B017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0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результатам выполнения сетевой организацией мероприятий по технологическому присоединению в соотве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тствии с техническими условиями,</w:t>
            </w:r>
            <w:r w:rsidRPr="002B0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сетевая организация составляет в электронной форме и размещает в личном кабинете потребителя акт о выполнении технических условий и акт об осуществлении технологического присоединения, подписанные усиленной квалифицированной электронной подписью уполномоченного лица сетевой организации, о чем сетевая организация не позднее окончания рабочего дня, в течение которого были составлены и размещены указанные документы, обязана уведомить заявителя.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E" w:rsidRDefault="002B017E" w:rsidP="0057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Размещение в личном кабинете заявителя (на сайте сетевой организации)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E" w:rsidRPr="00C917CB" w:rsidRDefault="002B017E" w:rsidP="00576F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E" w:rsidRPr="002B017E" w:rsidRDefault="002B017E" w:rsidP="002B017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0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актам.</w:t>
            </w:r>
          </w:p>
          <w:p w:rsidR="002B017E" w:rsidRPr="00ED44B1" w:rsidRDefault="002B017E" w:rsidP="002B017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0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случае поступления замечаний заявителя по причине несоответствия реализованных сетевой организацией мероприятий техническим условиям и (или) настоящим Правилам сетевая организация в течение 10 рабочих дней со дня поступления указанных замечаний обязана их устранить.</w:t>
            </w:r>
          </w:p>
        </w:tc>
      </w:tr>
    </w:tbl>
    <w:p w:rsidR="00C917CB" w:rsidRPr="00C917CB" w:rsidRDefault="00C917CB" w:rsidP="00C91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917CB" w:rsidRPr="00C917CB" w:rsidRDefault="00C917CB" w:rsidP="00C91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C917CB" w:rsidRPr="00C917CB" w:rsidRDefault="00C917CB" w:rsidP="002B017E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ПАСПОРТ УСЛУГИ (ПРОЦЕССА) ООО «</w:t>
      </w:r>
      <w:r w:rsidR="00813C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ТРАНСЭНЕРГО</w:t>
      </w: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C917CB" w:rsidRPr="00C917CB" w:rsidRDefault="00C917CB" w:rsidP="00C91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ТЕХНОЛОГИЧЕСКОМУ ПРИСОЕДИНЕНИЮ</w:t>
      </w:r>
    </w:p>
    <w:p w:rsidR="00D25167" w:rsidRDefault="00C917CB" w:rsidP="00C9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(Заявители</w:t>
      </w:r>
      <w:r w:rsidR="008001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физические лица</w:t>
      </w: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 максимальной мощностью энергопринимающих устройств </w:t>
      </w:r>
      <w:r w:rsidR="008001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</w:t>
      </w: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15 кВт до 150 кВт с учетом ранее присоединенной мощности</w:t>
      </w:r>
      <w:r w:rsidR="00D25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;</w:t>
      </w:r>
    </w:p>
    <w:p w:rsidR="00C917CB" w:rsidRPr="00C917CB" w:rsidRDefault="00D25167" w:rsidP="00C91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ческие лица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 индивидуальные предприниматели</w:t>
      </w: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 максимальной мощностью энергопринимающих устройств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</w:t>
      </w: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кВт до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670</w:t>
      </w:r>
      <w:r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кВт с учетом ранее присоединенной мощности</w:t>
      </w:r>
      <w:r w:rsidR="00C917CB" w:rsidRPr="00C917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C917CB" w:rsidRPr="00C917CB" w:rsidRDefault="00C917CB" w:rsidP="00C91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D25167" w:rsidRDefault="00C917CB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Круг заявителей: </w:t>
      </w:r>
    </w:p>
    <w:p w:rsidR="00D25167" w:rsidRPr="00D25167" w:rsidRDefault="00D25167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r w:rsidRPr="00D2516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Заявители физические лица с максимальной мощностью энергопринимающих устройств от 15 кВт до 150 кВт с учетом ранее присоединенной мощности;</w:t>
      </w:r>
    </w:p>
    <w:p w:rsidR="00C917CB" w:rsidRPr="00D25167" w:rsidRDefault="00D25167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</w:t>
      </w:r>
      <w:r w:rsidRPr="00D2516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Заявители юридические лица и индивидуальные предприниматели с максимальной мощностью энергопринимающих устройств от 150 кВт до 670 кВт с учетом ранее присоединенной мощности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8001BA" w:rsidRDefault="008001BA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01BA" w:rsidRPr="00C917CB" w:rsidRDefault="008001BA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Размер платы за предоставление услуги (процесса) и основание ее взимания: 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размер платы за технологическое присоединение рассчитывается на основании ставок платы </w:t>
      </w:r>
      <w:r w:rsidR="00D25167" w:rsidRPr="00D25167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 платы за технологическое присоединение рассчитывается на основании ставок, утвержденных органом исполнительной власти в области тарифного регулирования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исходя из </w:t>
      </w:r>
      <w:r w:rsidR="00D2516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ероприятий необходимых для технологического присоединения</w:t>
      </w:r>
      <w:r w:rsidR="00D251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максимальной мощности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001BA" w:rsidRPr="00C917CB" w:rsidRDefault="008001BA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01BA" w:rsidRPr="00C917CB" w:rsidRDefault="008001BA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оказания услуги (процесса): </w:t>
      </w:r>
      <w:r w:rsidR="00D25167" w:rsidRPr="00D25167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подача заявки на технологическое присоединение в сетевую компанию, с приложением комплекта необходимых документов; своевременное внесение оплаты; соблюдение принципа «однократности технологического присоединения».</w:t>
      </w:r>
    </w:p>
    <w:p w:rsidR="008001BA" w:rsidRPr="00C917CB" w:rsidRDefault="008001BA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01BA" w:rsidRPr="00C917CB" w:rsidRDefault="008001BA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Результат оказания услуги (процесса): 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осуществление технологического присоединения энергопринимающих устройств заявителя к электрическим сетям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Трансэнерго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8001BA" w:rsidRPr="00C917CB" w:rsidRDefault="008001BA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01BA" w:rsidRPr="00C917CB" w:rsidRDefault="008001BA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Общий срок оказания услуги (процесса): 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общий срок осуществление мероприятий по технологическому присоединению энергопринимающих устройств заявителя к электрическим сетям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Трансэнерго</w:t>
      </w:r>
      <w:r w:rsidR="00D251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составляет от 4 до 12 месяцев</w:t>
      </w:r>
      <w:r w:rsidR="00D251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755A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подробные критерии срока оказания услуг установлены </w:t>
      </w:r>
      <w:r w:rsidR="00D25167">
        <w:rPr>
          <w:rFonts w:ascii="Times New Roman" w:eastAsia="Times New Roman" w:hAnsi="Times New Roman" w:cs="Times New Roman"/>
          <w:color w:val="000000"/>
          <w:sz w:val="27"/>
          <w:szCs w:val="27"/>
        </w:rPr>
        <w:t>п.16 Правил ТПр)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001BA" w:rsidRPr="00C917CB" w:rsidRDefault="008001BA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01BA" w:rsidRPr="00C917CB" w:rsidRDefault="008001BA" w:rsidP="00D2516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Ссыл</w:t>
      </w:r>
      <w:r w:rsidR="00D25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ка на нормативный правовой акт: 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</w:t>
      </w: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755ABC" w:rsidRDefault="00755ABC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2835"/>
        <w:gridCol w:w="2694"/>
        <w:gridCol w:w="2912"/>
      </w:tblGrid>
      <w:tr w:rsidR="00755ABC" w:rsidTr="00755ABC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BC" w:rsidRPr="00C917CB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BC" w:rsidRPr="00C917CB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BC" w:rsidRPr="00C917CB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Содержание/условие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BC" w:rsidRPr="00C917CB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предоставления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BC" w:rsidRPr="00C917CB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ABC" w:rsidRPr="00C917CB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755ABC" w:rsidTr="00755ABC">
        <w:tc>
          <w:tcPr>
            <w:tcW w:w="675" w:type="dxa"/>
          </w:tcPr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Рассмотрение</w:t>
            </w:r>
          </w:p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заявки на</w:t>
            </w:r>
          </w:p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технологическое</w:t>
            </w:r>
          </w:p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присоединение</w:t>
            </w:r>
          </w:p>
        </w:tc>
        <w:tc>
          <w:tcPr>
            <w:tcW w:w="3543" w:type="dxa"/>
          </w:tcPr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Получение ООО «Трансэнерго» заявки на технологическое присоединение энергопринимающих устройств к электрическим сетям, проверка правильности заполнения поданной заявки и комплекта прикладываемых документов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установление наличия или отсутствия технической возможности технологического присоединения</w:t>
            </w:r>
          </w:p>
        </w:tc>
        <w:tc>
          <w:tcPr>
            <w:tcW w:w="2835" w:type="dxa"/>
          </w:tcPr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Заявка может быть направлена в адрес сетевой организации заказным письмом, </w:t>
            </w:r>
            <w:r w:rsidR="00C6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электронной почте,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либо вручена </w:t>
            </w:r>
          </w:p>
          <w:p w:rsidR="00755ABC" w:rsidRPr="00755ABC" w:rsidRDefault="00755ABC" w:rsidP="00C6188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 или чере</w:t>
            </w:r>
            <w:r w:rsidR="00C6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 уполномоченного представителя</w:t>
            </w:r>
          </w:p>
        </w:tc>
        <w:tc>
          <w:tcPr>
            <w:tcW w:w="2694" w:type="dxa"/>
          </w:tcPr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позднее 3 рабочих дней с даты получения заявки</w:t>
            </w:r>
          </w:p>
        </w:tc>
        <w:tc>
          <w:tcPr>
            <w:tcW w:w="2912" w:type="dxa"/>
          </w:tcPr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отсутствии в заявке сведений, а также документов, предусмотренных Правилами технологического присоединения, заявитель уведомляется об этом в течение 3 рабочих дней с даты получения заявки (п. 15 Правил).</w:t>
            </w:r>
          </w:p>
        </w:tc>
      </w:tr>
      <w:tr w:rsidR="00755ABC" w:rsidTr="00755ABC">
        <w:tc>
          <w:tcPr>
            <w:tcW w:w="675" w:type="dxa"/>
          </w:tcPr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127" w:type="dxa"/>
          </w:tcPr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направление заявителю оферты договора об осуществлении технологического присоединения</w:t>
            </w:r>
          </w:p>
        </w:tc>
        <w:tc>
          <w:tcPr>
            <w:tcW w:w="3543" w:type="dxa"/>
          </w:tcPr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соответствии поданной заявки действующему законодательству,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наличии технической возможности подключения – сетевая организацию направляет заявителю оферту договора и технические условия к нему</w:t>
            </w:r>
          </w:p>
        </w:tc>
        <w:tc>
          <w:tcPr>
            <w:tcW w:w="2835" w:type="dxa"/>
          </w:tcPr>
          <w:p w:rsidR="00755ABC" w:rsidRPr="00755ABC" w:rsidRDefault="00C61882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Договор направляется в адрес заявителя з</w:t>
            </w:r>
            <w:r w:rsid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аказным </w:t>
            </w:r>
            <w:r w:rsidR="00755ABC"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письмом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либо может быть</w:t>
            </w:r>
          </w:p>
          <w:p w:rsidR="00755ABC" w:rsidRPr="00755ABC" w:rsidRDefault="00C61882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вручен</w:t>
            </w:r>
            <w:r w:rsid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55ABC"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 или чере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 уполномоченного представителя</w:t>
            </w:r>
          </w:p>
          <w:p w:rsidR="00755ABC" w:rsidRPr="00755ABC" w:rsidRDefault="00755ABC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55ABC" w:rsidRPr="00755ABC" w:rsidRDefault="00C61882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течение 20 рабочих дней со дня получения заявки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(за исключением заявителей, желающих заключить договор по индивидуальному проекту)</w:t>
            </w:r>
          </w:p>
        </w:tc>
        <w:tc>
          <w:tcPr>
            <w:tcW w:w="2912" w:type="dxa"/>
          </w:tcPr>
          <w:p w:rsidR="00755ABC" w:rsidRPr="00755ABC" w:rsidRDefault="00C61882" w:rsidP="00C6188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случае несогласия с представленным сетевой организацией проектом договора и (или) несоответствия его Правилам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ТПр,</w:t>
            </w:r>
            <w:r w:rsidRPr="00C6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заявитель вправе в течение 10 рабочих дней со дня получения подписанного проекта договора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Правилами ТПр</w:t>
            </w:r>
            <w:r w:rsidRPr="00C6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55ABC" w:rsidTr="00755ABC">
        <w:tc>
          <w:tcPr>
            <w:tcW w:w="675" w:type="dxa"/>
          </w:tcPr>
          <w:p w:rsidR="00755ABC" w:rsidRPr="00755ABC" w:rsidRDefault="00C61882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:rsidR="00C61882" w:rsidRPr="00C61882" w:rsidRDefault="00C61882" w:rsidP="00C6188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Выполнение мероприятий,</w:t>
            </w:r>
          </w:p>
          <w:p w:rsidR="00C61882" w:rsidRPr="00C61882" w:rsidRDefault="00C61882" w:rsidP="00C6188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предусмотренных</w:t>
            </w:r>
          </w:p>
          <w:p w:rsidR="00755ABC" w:rsidRPr="00755ABC" w:rsidRDefault="00C61882" w:rsidP="00C6188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договором</w:t>
            </w:r>
          </w:p>
        </w:tc>
        <w:tc>
          <w:tcPr>
            <w:tcW w:w="3543" w:type="dxa"/>
          </w:tcPr>
          <w:p w:rsidR="00755ABC" w:rsidRPr="00755ABC" w:rsidRDefault="00C61882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Наличие заключенного сторонами договора </w:t>
            </w:r>
          </w:p>
        </w:tc>
        <w:tc>
          <w:tcPr>
            <w:tcW w:w="2835" w:type="dxa"/>
          </w:tcPr>
          <w:p w:rsidR="00755ABC" w:rsidRPr="00755ABC" w:rsidRDefault="00C61882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Выполнение мероприятий, указанных в технических условиях к договору со стороны Сетевой организации и Заявителя</w:t>
            </w:r>
          </w:p>
        </w:tc>
        <w:tc>
          <w:tcPr>
            <w:tcW w:w="2694" w:type="dxa"/>
          </w:tcPr>
          <w:p w:rsidR="00755ABC" w:rsidRPr="00755ABC" w:rsidRDefault="00C61882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соответствии со сроком выполнения технических условий, установленного в договоре (от 4 месяцев до 1 года)</w:t>
            </w:r>
          </w:p>
        </w:tc>
        <w:tc>
          <w:tcPr>
            <w:tcW w:w="2912" w:type="dxa"/>
          </w:tcPr>
          <w:p w:rsidR="00755ABC" w:rsidRPr="00755ABC" w:rsidRDefault="00C61882" w:rsidP="00755A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Договор считается заключенным с момента поступления подписанного Заявителем договора в адрес сетевой организации</w:t>
            </w:r>
          </w:p>
        </w:tc>
      </w:tr>
      <w:tr w:rsidR="00461E6E" w:rsidTr="003012CD">
        <w:tc>
          <w:tcPr>
            <w:tcW w:w="675" w:type="dxa"/>
          </w:tcPr>
          <w:p w:rsidR="00461E6E" w:rsidRPr="00755ABC" w:rsidRDefault="00461E6E" w:rsidP="00461E6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6E" w:rsidRPr="00461E6E" w:rsidRDefault="00461E6E" w:rsidP="00461E6E">
            <w:pPr>
              <w:ind w:left="176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Проверка сетевой организацией выполнения заявителем технических условий</w:t>
            </w:r>
          </w:p>
          <w:p w:rsidR="00461E6E" w:rsidRPr="00461E6E" w:rsidRDefault="00461E6E" w:rsidP="00461E6E">
            <w:pPr>
              <w:ind w:left="176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6E" w:rsidRPr="00461E6E" w:rsidRDefault="00461E6E" w:rsidP="00461E6E">
            <w:pPr>
              <w:ind w:left="284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 выполнения</w:t>
            </w: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заявителем технических условий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договору, он обязан направить в адрес сетевой организации </w:t>
            </w: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Уведомление                              о выполнении технических условий (п. 85 Правил).</w:t>
            </w:r>
          </w:p>
          <w:p w:rsidR="00461E6E" w:rsidRPr="00461E6E" w:rsidRDefault="00461E6E" w:rsidP="00461E6E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6E" w:rsidRPr="00461E6E" w:rsidRDefault="00461E6E" w:rsidP="00461E6E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Уведомление </w:t>
            </w: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может быть направлен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адрес сетевой организации заказным письмом, по электронной почте, либо вручен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61E6E" w:rsidRPr="00461E6E" w:rsidRDefault="00461E6E" w:rsidP="00461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 или через уполномоченного представителя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6E" w:rsidRPr="00461E6E" w:rsidRDefault="00461E6E" w:rsidP="00461E6E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Сетевая организация проводит проверку выполнения технических условий заявителем в</w:t>
            </w: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течение 10 рабочих дней со дня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получения уведомления</w:t>
            </w:r>
          </w:p>
          <w:p w:rsidR="00461E6E" w:rsidRPr="00461E6E" w:rsidRDefault="00461E6E" w:rsidP="00461E6E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6E" w:rsidRPr="00461E6E" w:rsidRDefault="00461E6E" w:rsidP="00461E6E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</w:p>
        </w:tc>
      </w:tr>
      <w:tr w:rsidR="00461E6E" w:rsidTr="00755ABC">
        <w:tc>
          <w:tcPr>
            <w:tcW w:w="675" w:type="dxa"/>
          </w:tcPr>
          <w:p w:rsidR="00461E6E" w:rsidRPr="00755ABC" w:rsidRDefault="00461E6E" w:rsidP="00461E6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27" w:type="dxa"/>
          </w:tcPr>
          <w:p w:rsidR="00461E6E" w:rsidRPr="00755ABC" w:rsidRDefault="00E26284" w:rsidP="00461E6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Составление акта о выполнении технических условий или о выявлении замечаний по выполнению технических условий</w:t>
            </w:r>
          </w:p>
        </w:tc>
        <w:tc>
          <w:tcPr>
            <w:tcW w:w="3543" w:type="dxa"/>
          </w:tcPr>
          <w:p w:rsidR="00461E6E" w:rsidRPr="00755ABC" w:rsidRDefault="00E26284" w:rsidP="00461E6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После проведения сетевой организацией проверки выполнения технических условий со стороны заявителя, сетевая организация составляет </w:t>
            </w:r>
            <w:r w:rsidRPr="00E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акт о выполнении технических условий</w:t>
            </w:r>
          </w:p>
        </w:tc>
        <w:tc>
          <w:tcPr>
            <w:tcW w:w="2835" w:type="dxa"/>
          </w:tcPr>
          <w:p w:rsidR="00E26284" w:rsidRPr="00755ABC" w:rsidRDefault="00E26284" w:rsidP="00E262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направляется в адрес заявителя заказным </w:t>
            </w: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письмом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либо может быть</w:t>
            </w:r>
          </w:p>
          <w:p w:rsidR="00E26284" w:rsidRPr="00755ABC" w:rsidRDefault="00E26284" w:rsidP="00E262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вручен </w:t>
            </w:r>
            <w:r w:rsidRPr="0075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 или чере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 уполномоченного представителя</w:t>
            </w:r>
          </w:p>
          <w:p w:rsidR="00461E6E" w:rsidRPr="00755ABC" w:rsidRDefault="00461E6E" w:rsidP="00461E6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461E6E" w:rsidRPr="00755ABC" w:rsidRDefault="00E26284" w:rsidP="00461E6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течение 3 (трех) рабочих дней с момента проведения осмотра</w:t>
            </w:r>
          </w:p>
        </w:tc>
        <w:tc>
          <w:tcPr>
            <w:tcW w:w="2912" w:type="dxa"/>
          </w:tcPr>
          <w:p w:rsidR="00461E6E" w:rsidRPr="00755ABC" w:rsidRDefault="00E26284" w:rsidP="00E262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Сетевая организация вместе с актом о выполнении технических условий обязана предоставить заявителю ранее полученны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 от гарантирующего поставщика </w:t>
            </w:r>
            <w:r w:rsidRPr="00E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E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экземпляра,</w:t>
            </w:r>
            <w:r w:rsidRPr="00E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подписанного гарантирующим поставщиком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E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проекта договора энергоснабжения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(купли-продажи электрической энергии)</w:t>
            </w:r>
          </w:p>
        </w:tc>
      </w:tr>
      <w:tr w:rsidR="00461E6E" w:rsidTr="00755ABC">
        <w:tc>
          <w:tcPr>
            <w:tcW w:w="675" w:type="dxa"/>
          </w:tcPr>
          <w:p w:rsidR="00461E6E" w:rsidRPr="00755ABC" w:rsidRDefault="00E26284" w:rsidP="00461E6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:rsidR="00461E6E" w:rsidRDefault="00E26284" w:rsidP="00461E6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фактического присоединения энергопринимающих устройств заявителя к электрическим сетям, подача напряжения в сеть;</w:t>
            </w:r>
          </w:p>
          <w:p w:rsidR="00E26284" w:rsidRPr="00755ABC" w:rsidRDefault="00E26284" w:rsidP="00461E6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Составление </w:t>
            </w:r>
            <w:r w:rsidRPr="00E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E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об осуществлении технологического присоединения</w:t>
            </w:r>
          </w:p>
        </w:tc>
        <w:tc>
          <w:tcPr>
            <w:tcW w:w="3543" w:type="dxa"/>
          </w:tcPr>
          <w:p w:rsidR="00461E6E" w:rsidRPr="00755ABC" w:rsidRDefault="00366A4B" w:rsidP="00366A4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После подписания сторонами договора акта о выполнении технических условий, сетевая организация осуществляет подачу напряжения на энергоустановки заявителя, после чего, сторонами подписывается акт об осуществлении технологического присоединения</w:t>
            </w:r>
          </w:p>
        </w:tc>
        <w:tc>
          <w:tcPr>
            <w:tcW w:w="2835" w:type="dxa"/>
          </w:tcPr>
          <w:p w:rsidR="00461E6E" w:rsidRPr="00755ABC" w:rsidRDefault="00461E6E" w:rsidP="00461E6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461E6E" w:rsidRPr="00755ABC" w:rsidRDefault="00366A4B" w:rsidP="00461E6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(подачи) напряжения и мощности</w:t>
            </w:r>
          </w:p>
        </w:tc>
        <w:tc>
          <w:tcPr>
            <w:tcW w:w="2912" w:type="dxa"/>
          </w:tcPr>
          <w:p w:rsidR="00461E6E" w:rsidRPr="00755ABC" w:rsidRDefault="00366A4B" w:rsidP="00366A4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6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 пунктом 14(2) Правил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ТПр</w:t>
            </w:r>
          </w:p>
        </w:tc>
      </w:tr>
    </w:tbl>
    <w:p w:rsidR="008001BA" w:rsidRPr="00755ABC" w:rsidRDefault="008001BA" w:rsidP="00755ABC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C917CB" w:rsidRPr="00C917CB" w:rsidRDefault="00C917CB" w:rsidP="00C917C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7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917CB" w:rsidRPr="00366A4B" w:rsidRDefault="00366A4B" w:rsidP="00366A4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6A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* Правилами технологического присоединения установлены особые сроки по заключению и выполнению договоров с заявителями, желающими осуществить технологическое присоединение по индивидуальному проекту; заявителями, осуществляющими временное технологическое присоединение;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заявителями, желающими осуществить технологическое присоединение энергопринимающих устройств, максимальной мощностью свыше 670 кВт.</w:t>
      </w:r>
    </w:p>
    <w:sectPr w:rsidR="00C917CB" w:rsidRPr="00366A4B" w:rsidSect="00576F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ED" w:rsidRDefault="009C46ED" w:rsidP="00755ABC">
      <w:pPr>
        <w:spacing w:after="0" w:line="240" w:lineRule="auto"/>
      </w:pPr>
      <w:r>
        <w:separator/>
      </w:r>
    </w:p>
  </w:endnote>
  <w:endnote w:type="continuationSeparator" w:id="0">
    <w:p w:rsidR="009C46ED" w:rsidRDefault="009C46ED" w:rsidP="0075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ED" w:rsidRDefault="009C46ED" w:rsidP="00755ABC">
      <w:pPr>
        <w:spacing w:after="0" w:line="240" w:lineRule="auto"/>
      </w:pPr>
      <w:r>
        <w:separator/>
      </w:r>
    </w:p>
  </w:footnote>
  <w:footnote w:type="continuationSeparator" w:id="0">
    <w:p w:rsidR="009C46ED" w:rsidRDefault="009C46ED" w:rsidP="0075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3596"/>
    <w:multiLevelType w:val="hybridMultilevel"/>
    <w:tmpl w:val="9C389FD8"/>
    <w:lvl w:ilvl="0" w:tplc="E5C686EC">
      <w:start w:val="6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7CB"/>
    <w:rsid w:val="00010B1A"/>
    <w:rsid w:val="00121D9C"/>
    <w:rsid w:val="00122276"/>
    <w:rsid w:val="001C5F25"/>
    <w:rsid w:val="00290F9B"/>
    <w:rsid w:val="002B017E"/>
    <w:rsid w:val="00366A4B"/>
    <w:rsid w:val="004045BF"/>
    <w:rsid w:val="00461E6E"/>
    <w:rsid w:val="00472319"/>
    <w:rsid w:val="005446D5"/>
    <w:rsid w:val="00576F1E"/>
    <w:rsid w:val="00755ABC"/>
    <w:rsid w:val="008001BA"/>
    <w:rsid w:val="00813CD2"/>
    <w:rsid w:val="00940840"/>
    <w:rsid w:val="00981A1A"/>
    <w:rsid w:val="009C46ED"/>
    <w:rsid w:val="00C36C9F"/>
    <w:rsid w:val="00C61882"/>
    <w:rsid w:val="00C917CB"/>
    <w:rsid w:val="00CB7C42"/>
    <w:rsid w:val="00D25167"/>
    <w:rsid w:val="00D8493C"/>
    <w:rsid w:val="00DC03A2"/>
    <w:rsid w:val="00E26284"/>
    <w:rsid w:val="00E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5C65-D0CA-40A8-A968-98678BBE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ABC"/>
  </w:style>
  <w:style w:type="paragraph" w:styleId="a5">
    <w:name w:val="footer"/>
    <w:basedOn w:val="a"/>
    <w:link w:val="a6"/>
    <w:uiPriority w:val="99"/>
    <w:unhideWhenUsed/>
    <w:rsid w:val="0075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ABC"/>
  </w:style>
  <w:style w:type="table" w:styleId="a7">
    <w:name w:val="Table Grid"/>
    <w:basedOn w:val="a1"/>
    <w:uiPriority w:val="59"/>
    <w:rsid w:val="0075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Юрист Трансэнерго</cp:lastModifiedBy>
  <cp:revision>8</cp:revision>
  <dcterms:created xsi:type="dcterms:W3CDTF">2019-05-07T01:13:00Z</dcterms:created>
  <dcterms:modified xsi:type="dcterms:W3CDTF">2021-02-26T07:10:00Z</dcterms:modified>
</cp:coreProperties>
</file>